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cosecha</w:t>
      </w:r>
      <w:r>
        <w:t xml:space="preserve"> </w:t>
      </w:r>
      <w:r>
        <w:t xml:space="preserve">ceremonial</w:t>
      </w:r>
    </w:p>
    <w:p>
      <w:pPr>
        <w:pStyle w:val="FirstParagraph"/>
      </w:pPr>
      <w:r>
        <w:t xml:space="preserve">Estudio N.º 5</w:t>
      </w:r>
    </w:p>
    <w:bookmarkStart w:id="22" w:name="la-cosecha-ceremonial"/>
    <w:p>
      <w:pPr>
        <w:pStyle w:val="Heading1"/>
      </w:pPr>
      <w:r>
        <w:t xml:space="preserve">La cosecha ceremonial</w:t>
      </w:r>
    </w:p>
    <w:p>
      <w:pPr>
        <w:pStyle w:val="BlockText"/>
      </w:pPr>
      <w:r>
        <w:rPr>
          <w:u w:val="single"/>
          <w:iCs/>
          <w:i/>
        </w:rPr>
        <w:t xml:space="preserve">Introducción</w:t>
      </w:r>
      <w:r>
        <w:t xml:space="preserve">: Este estudio revela que el tema del juicio se enseña no solo en los escritos de los profetas y en las parábolas de Jesús, sino también en los tipos y símbolos del santuario terrenal.</w:t>
      </w:r>
    </w:p>
    <w:p>
      <w:pPr>
        <w:pStyle w:val="BlockText"/>
      </w:pPr>
      <w:r>
        <w:rPr>
          <w:u w:val="single"/>
          <w:iCs/>
          <w:i/>
        </w:rPr>
        <w:t xml:space="preserve">Pensamiento de oración</w:t>
      </w:r>
      <w:r>
        <w:t xml:space="preserve">:</w:t>
      </w:r>
      <w:r>
        <w:t xml:space="preserve"> </w:t>
      </w:r>
      <w:hyperlink r:id="rId20">
        <w:r>
          <w:rPr>
            <w:rStyle w:val="Hyperlink"/>
          </w:rPr>
          <w:t xml:space="preserve">1 Cor. 10:11</w:t>
        </w:r>
      </w:hyperlink>
      <w:r>
        <w:t xml:space="preserve">;</w:t>
      </w:r>
      <w:r>
        <w:t xml:space="preserve"> </w:t>
      </w:r>
      <w:hyperlink r:id="rId21">
        <w:r>
          <w:rPr>
            <w:rStyle w:val="Hyperlink"/>
          </w:rPr>
          <w:t xml:space="preserve">AA 14.1</w:t>
        </w:r>
      </w:hyperlink>
    </w:p>
    <w:p>
      <w:pPr>
        <w:pStyle w:val="BlockText"/>
      </w:pPr>
      <w:r>
        <w:t xml:space="preserve">“Y estas cosas les acontecieron en figura; y son escritas para nuestra admonición, en quienes los fines de los siglos han parado”. {</w:t>
      </w:r>
      <w:hyperlink r:id="rId20">
        <w:r>
          <w:rPr>
            <w:rStyle w:val="Hyperlink"/>
          </w:rPr>
          <w:t xml:space="preserve">1 Cor. 10:11</w:t>
        </w:r>
      </w:hyperlink>
      <w:r>
        <w:t xml:space="preserve">}</w:t>
      </w:r>
    </w:p>
    <w:p>
      <w:pPr>
        <w:pStyle w:val="BlockText"/>
      </w:pPr>
      <w:r>
        <w:t xml:space="preserve">“Todo el sistema de tipos y símbolos era una profecía compacta del evangelio, una presentación en la que estaban contenidas las promesas de la redención”. {</w:t>
      </w:r>
      <w:hyperlink r:id="rId21">
        <w:r>
          <w:rPr>
            <w:rStyle w:val="Hyperlink"/>
          </w:rPr>
          <w:t xml:space="preserve">AA14.1</w:t>
        </w:r>
      </w:hyperlink>
      <w:r>
        <w:t xml:space="preserve">}</w:t>
      </w:r>
    </w:p>
    <w:bookmarkEnd w:id="22"/>
    <w:bookmarkStart w:id="28" w:name="read-lev.-23-10-11-14-17-39"/>
    <w:p>
      <w:pPr>
        <w:pStyle w:val="Heading1"/>
      </w:pPr>
      <w:r>
        <w:rPr>
          <w:u w:val="single"/>
          <w:iCs/>
          <w:i/>
        </w:rPr>
        <w:t xml:space="preserve">Lea</w:t>
      </w:r>
      <w:r>
        <w:t xml:space="preserve"> </w:t>
      </w:r>
      <w:hyperlink r:id="rId23">
        <w:r>
          <w:rPr>
            <w:rStyle w:val="Hyperlink"/>
          </w:rPr>
          <w:t xml:space="preserve">Lev. 23:10, 11, 14-17, 39</w:t>
        </w:r>
      </w:hyperlink>
    </w:p>
    <w:p>
      <w:pPr>
        <w:pStyle w:val="BlockText"/>
      </w:pPr>
      <w:r>
        <w:t xml:space="preserve">23:10 Habla á los hijos de Israel, y diles: Cuando hubiereis entrado en la tierra que yo os doy, y segareis su mies, traeréis al sacerdote un omer por primicia de los primeros frutos de vuestra siega;</w:t>
      </w:r>
    </w:p>
    <w:p>
      <w:pPr>
        <w:pStyle w:val="BlockText"/>
      </w:pPr>
      <w:r>
        <w:t xml:space="preserve">23:11 El cual mecerá el omer delante de Jehová, para que seáis aceptos: el siguiente día del sábado lo mecerá el sacerdote.</w:t>
      </w:r>
    </w:p>
    <w:p>
      <w:pPr>
        <w:pStyle w:val="BlockText"/>
      </w:pPr>
      <w:r>
        <w:t xml:space="preserve">23:14 Y no comeréis pan, ni grano tostado, ni espiga fresca, hasta este mismo día, hasta que hayáis ofrecido la ofrenda de vuestro Dios; estatuto perpetuo es por vuestras edades en todas vuestras habitaciones.</w:t>
      </w:r>
    </w:p>
    <w:p>
      <w:pPr>
        <w:pStyle w:val="BlockText"/>
      </w:pPr>
      <w:r>
        <w:t xml:space="preserve">23:15 Y os habéis de contar desde el siguiente día del sábado, desde el día en que ofrecisteis el omer de la ofrenda mecida; siete semanas cumplidas serán:</w:t>
      </w:r>
    </w:p>
    <w:p>
      <w:pPr>
        <w:pStyle w:val="BlockText"/>
      </w:pPr>
      <w:r>
        <w:t xml:space="preserve">23:16 Hasta el siguiente día del sábado séptimo contaréis cincuenta días; entonces ofreceréis nuevo presente á Jehová.</w:t>
      </w:r>
    </w:p>
    <w:p>
      <w:pPr>
        <w:pStyle w:val="BlockText"/>
      </w:pPr>
      <w:r>
        <w:t xml:space="preserve">23:17 De vuestras habitaciones traeréis dos panes para ofrenda mecida, que serán de dos décimas de flor de harina, cocidos con levadura, por primicias á Jehová.</w:t>
      </w:r>
    </w:p>
    <w:p>
      <w:pPr>
        <w:pStyle w:val="BlockText"/>
      </w:pPr>
      <w:r>
        <w:t xml:space="preserve">23:39 Empero á los quince del mes séptimo, cuando hubiereis allegado el fruto de la tierra, haréis fiesta á Jehová por siete días: el primer día será sábado; sábado será también el octavo día.</w:t>
      </w:r>
    </w:p>
    <w:p>
      <w:pPr>
        <w:pStyle w:val="BlockText"/>
      </w:pPr>
      <w:r>
        <w:t xml:space="preserve">Observe que se mencionan</w:t>
      </w:r>
      <w:r>
        <w:t xml:space="preserve"> </w:t>
      </w:r>
      <w:r>
        <w:rPr>
          <w:iCs/>
          <w:i/>
        </w:rPr>
        <w:t xml:space="preserve">tres ritos de la cosecha</w:t>
      </w:r>
      <w:r>
        <w:t xml:space="preserve">.</w:t>
      </w:r>
    </w:p>
    <w:p>
      <w:pPr>
        <w:numPr>
          <w:ilvl w:val="0"/>
          <w:numId w:val="1001"/>
        </w:numPr>
      </w:pPr>
      <w:r>
        <w:t xml:space="preserve">La ceremonia de la “gavilla mecida” al comienzo de la primera cosecha.</w:t>
      </w:r>
    </w:p>
    <w:p>
      <w:pPr>
        <w:numPr>
          <w:ilvl w:val="0"/>
          <w:numId w:val="1001"/>
        </w:numPr>
      </w:pPr>
      <w:r>
        <w:t xml:space="preserve">La ceremonia de los “panes mecidos” al final de la primera cosecha.</w:t>
      </w:r>
    </w:p>
    <w:p>
      <w:pPr>
        <w:numPr>
          <w:ilvl w:val="0"/>
          <w:numId w:val="1001"/>
        </w:numPr>
      </w:pPr>
      <w:r>
        <w:t xml:space="preserve">La “fiesta de los tabernáculos” al final de la segunda cosecha.</w:t>
      </w:r>
    </w:p>
    <w:p>
      <w:pPr>
        <w:pStyle w:val="BlockText"/>
      </w:pPr>
      <w:r>
        <w:t xml:space="preserve">Siendo típicas, estas dos cosechas de grano con sus tres sacramentos literales prefiguran, por consiguiente, dos cosechas de almas con tres ritos espirituales, el primero de los cuales es el de los</w:t>
      </w:r>
    </w:p>
    <w:p>
      <w:pPr>
        <w:numPr>
          <w:ilvl w:val="0"/>
          <w:numId w:val="1002"/>
        </w:numPr>
      </w:pPr>
      <w:r>
        <w:rPr>
          <w:u w:val="single"/>
          <w:iCs/>
          <w:i/>
        </w:rPr>
        <w:t xml:space="preserve">Primeros frutos con la gavilla mecida y los panes mecidos.</w:t>
      </w:r>
    </w:p>
    <w:p>
      <w:pPr>
        <w:pStyle w:val="BlockText"/>
      </w:pPr>
      <w:r>
        <w:t xml:space="preserve">La gavilla mecida había de ofrecerse “el siguiente día del sábado”, es decir, el primer día de la semana, ahora comúnmente llamado domingo. Esta ofrenda había de presentarse, no en un día especial del mes, sino más bien en un día especial de la semana, antes de meter la hoz al grano y recogerlo en gavillas (</w:t>
      </w:r>
      <w:hyperlink r:id="rId24">
        <w:r>
          <w:rPr>
            <w:rStyle w:val="Hyperlink"/>
            <w:bCs/>
            <w:b/>
          </w:rPr>
          <w:t xml:space="preserve">Lev. 23:11, 14</w:t>
        </w:r>
      </w:hyperlink>
      <w:r>
        <w:t xml:space="preserve">). Siendo de tallos de grano cortados, la gavilla mecida significaba frutos por cosechar. Señalaba hacia adelante a una cosecha espiritual de primeros frutos que habían de ser recogidos.</w:t>
      </w:r>
    </w:p>
    <w:p>
      <w:pPr>
        <w:pStyle w:val="BlockText"/>
      </w:pPr>
      <w:r>
        <w:t xml:space="preserve">En Pentecostés, cincuenta días después de ofrecida la gavilla típica, todo Israel había de ofrecer “nuevo presente á Jehová… [dos panes mecidos “cocidos con levadura”] por primicias á Jehová”.</w:t>
      </w:r>
      <w:r>
        <w:t xml:space="preserve"> </w:t>
      </w:r>
      <w:hyperlink r:id="rId25">
        <w:r>
          <w:rPr>
            <w:rStyle w:val="Hyperlink"/>
            <w:bCs/>
            <w:b/>
          </w:rPr>
          <w:t xml:space="preserve">Lev. 23:16, 17</w:t>
        </w:r>
      </w:hyperlink>
      <w:r>
        <w:t xml:space="preserve">.</w:t>
      </w:r>
    </w:p>
    <w:p>
      <w:pPr>
        <w:pStyle w:val="BlockText"/>
      </w:pPr>
      <w:r>
        <w:t xml:space="preserve">Siendo un producto terminado, los panes mecidos significaban frutos ya recogidos.</w:t>
      </w:r>
    </w:p>
    <w:p>
      <w:pPr>
        <w:pStyle w:val="BlockText"/>
      </w:pPr>
      <w:r>
        <w:t xml:space="preserve">Tanto la gavilla mecida como los panes mecidos eran ofrendas de acción de gracias por los primeros frutos. Una se dedicaba al comienzo de la cosecha; la otra al completarse esta. Llegando justo en el momento oportuno, en la estación de los primeros frutos, la semana de la Pascua era el período en que la gavilla mecida se ofrecía generalmente delante del Señor, proyectando su ritual proféticamente a</w:t>
      </w:r>
    </w:p>
    <w:p>
      <w:pPr>
        <w:numPr>
          <w:ilvl w:val="0"/>
          <w:numId w:val="1003"/>
        </w:numPr>
      </w:pPr>
      <w:r>
        <w:rPr>
          <w:u w:val="single"/>
          <w:iCs/>
          <w:i/>
        </w:rPr>
        <w:t xml:space="preserve">Cristo, el antitipo de la gavilla mecida.</w:t>
      </w:r>
    </w:p>
    <w:p>
      <w:pPr>
        <w:pStyle w:val="BlockText"/>
      </w:pPr>
      <w:r>
        <w:t xml:space="preserve">Durante más de mil años el mecimiento anual de la gavilla señaló hacia adelante a su acontecimiento antitípico, la resurrección de Cristo. –</w:t>
      </w:r>
    </w:p>
    <w:p>
      <w:pPr>
        <w:pStyle w:val="BlockText"/>
      </w:pPr>
      <w:hyperlink r:id="rId26">
        <w:r>
          <w:rPr>
            <w:rStyle w:val="Hyperlink"/>
            <w:bCs/>
            <w:b/>
          </w:rPr>
          <w:t xml:space="preserve">DA 785</w:t>
        </w:r>
      </w:hyperlink>
      <w:r>
        <w:rPr>
          <w:bCs/>
          <w:b/>
        </w:rPr>
        <w:t xml:space="preserve">, 786</w:t>
      </w:r>
      <w:r>
        <w:t xml:space="preserve"> </w:t>
      </w:r>
      <w:r>
        <w:t xml:space="preserve">“Él era el antitipo de la gavilla mecida, y su resurrección tuvo lugar en el mismo día en que la gavilla mecida había de ser presentada delante del Señor”. {</w:t>
      </w:r>
      <w:hyperlink r:id="rId27">
        <w:r>
          <w:rPr>
            <w:rStyle w:val="Hyperlink"/>
          </w:rPr>
          <w:t xml:space="preserve">DA 785.4</w:t>
        </w:r>
      </w:hyperlink>
      <w:r>
        <w:t xml:space="preserve">}</w:t>
      </w:r>
    </w:p>
    <w:bookmarkEnd w:id="28"/>
    <w:bookmarkStart w:id="40" w:name="matt.-27-50-53"/>
    <w:p>
      <w:pPr>
        <w:pStyle w:val="Heading1"/>
      </w:pPr>
      <w:hyperlink r:id="rId29">
        <w:r>
          <w:rPr>
            <w:rStyle w:val="Hyperlink"/>
          </w:rPr>
          <w:t xml:space="preserve">Mat. 27:50-53</w:t>
        </w:r>
      </w:hyperlink>
    </w:p>
    <w:p>
      <w:pPr>
        <w:pStyle w:val="BlockText"/>
      </w:pPr>
      <w:r>
        <w:t xml:space="preserve">27:50 Mas Jesús, habiendo otra vez exclamado con grande voz, dió el espíritu.</w:t>
      </w:r>
    </w:p>
    <w:p>
      <w:pPr>
        <w:pStyle w:val="BlockText"/>
      </w:pPr>
      <w:r>
        <w:t xml:space="preserve">27:51 Y he aquí, el velo del templo se rompió en dos, de alto á bajo: y la tierra tembló, y las piedras se hendieron;</w:t>
      </w:r>
    </w:p>
    <w:p>
      <w:pPr>
        <w:pStyle w:val="BlockText"/>
      </w:pPr>
      <w:r>
        <w:t xml:space="preserve">27:52 Y abriéronse los sepulcros, y muchos cuerpos de santos que habían dormido, se levantaron; 27:53 Y salidos de los sepulcros, después de su resurrección, vinieron á la santa ciudad, y aparecieron á muchos.</w:t>
      </w:r>
    </w:p>
    <w:p>
      <w:pPr>
        <w:pStyle w:val="BlockText"/>
      </w:pPr>
      <w:hyperlink r:id="rId30">
        <w:r>
          <w:rPr>
            <w:rStyle w:val="Hyperlink"/>
            <w:bCs/>
            <w:b/>
          </w:rPr>
          <w:t xml:space="preserve">EW 184</w:t>
        </w:r>
      </w:hyperlink>
      <w:r>
        <w:t xml:space="preserve"> </w:t>
      </w:r>
      <w:r>
        <w:t xml:space="preserve">“Cuando Jesús, pendiente de la cruz, exclamó: “Consumado es”, las rocas se partieron, la tierra tembló y algunos de los sepulcros se abrieron. Cuando se levantó vencedor de la muerte y del sepulcro, mientras la tierra se tambaleaba y la gloria del cielo resplandecía en torno al lugar sagrado, muchos de los justos muertos, obedientes a su llamado, salieron como testigos de que él había resucitado. Aquellos santos favorecidos y resucitados salieron glorificados. Eran escogidos y santos de todas las edades, desde la creación hasta los días de Cristo. Así, mientras los dirigentes judíos procuraban ocultar el hecho de la resurrección de Cristo, Dios decidió levantar de sus sepulcros a una compañía para testificar que Jesús había resucitado y para proclamar su gloria. {</w:t>
      </w:r>
      <w:hyperlink r:id="rId31">
        <w:r>
          <w:rPr>
            <w:rStyle w:val="Hyperlink"/>
          </w:rPr>
          <w:t xml:space="preserve">EW 184.1</w:t>
        </w:r>
      </w:hyperlink>
      <w:r>
        <w:t xml:space="preserve">}</w:t>
      </w:r>
    </w:p>
    <w:p>
      <w:pPr>
        <w:pStyle w:val="BlockText"/>
      </w:pPr>
      <w:hyperlink r:id="rId32">
        <w:r>
          <w:rPr>
            <w:rStyle w:val="Hyperlink"/>
            <w:bCs/>
            <w:b/>
          </w:rPr>
          <w:t xml:space="preserve">DA 834</w:t>
        </w:r>
      </w:hyperlink>
      <w:r>
        <w:rPr>
          <w:bCs/>
          <w:b/>
        </w:rPr>
        <w:t xml:space="preserve">, 834</w:t>
      </w:r>
      <w:r>
        <w:t xml:space="preserve"> </w:t>
      </w:r>
      <w:r>
        <w:t xml:space="preserve">“Todo el cielo esperaba para dar la bienvenida al Salvador a los atrios celestiales. Al ascender, él iba a la cabeza, y la multitud de cautivos libertados en su resurrección</w:t>
      </w:r>
    </w:p>
    <w:p>
      <w:pPr>
        <w:pStyle w:val="BlockText"/>
      </w:pPr>
      <w:r>
        <w:t xml:space="preserve">le seguía…. Entra en la presencia de su Padre. Señala su cabeza herida, el costado traspasado, los pies lacerados; alza sus manos, que llevan la señal de los clavos. Señala los trofeos de su triunfo; presenta a Dios la gavilla mecida, aquellos que resucitaron con él como representantes de la gran multitud que saldrá del sepulcro en su segunda venida”.</w:t>
      </w:r>
    </w:p>
    <w:p>
      <w:pPr>
        <w:pStyle w:val="BlockText"/>
      </w:pPr>
      <w:r>
        <w:t xml:space="preserve">Cristo, las primicias, y los que con él salieron del sepulcro en su resurrección, levantados a vida eterna, fueron la gavilla mecida antitípica de los muertos.</w:t>
      </w:r>
    </w:p>
    <w:p>
      <w:pPr>
        <w:pStyle w:val="BlockText"/>
      </w:pPr>
      <w:r>
        <w:t xml:space="preserve">Puesto que la gavilla mecida de grano señalaba hacia adelante a la recolección de los primeros frutos del campo, así también los que resucitaron con Cristo, siendo primeros frutos de los muertos, señalaban hacia adelante a la recolección de los primeros frutos del evangelio: los 120 discípulos. El Espíritu Santo descendió sobre los 120 discípulos (</w:t>
      </w:r>
      <w:hyperlink r:id="rId33">
        <w:r>
          <w:rPr>
            <w:rStyle w:val="Hyperlink"/>
            <w:bCs/>
            <w:b/>
          </w:rPr>
          <w:t xml:space="preserve">Hech. 2:1-4</w:t>
        </w:r>
      </w:hyperlink>
      <w:r>
        <w:t xml:space="preserve">) en el mismo día en que los panes mecidos habían de ser presentados delante del Señor. Por lo tanto, los panes mecidos eran una figura de los 120 discípulos llenos del Espíritu, que fueron el número completo de los primeros frutos de los muertos, y que fueron recogidos después de la resurrección. El Pentecostés apostólico fue, por consiguiente, el prototipo del Pentecostés ceremonial (el día en que se ofrecían los panes mecidos).</w:t>
      </w:r>
    </w:p>
    <w:p>
      <w:pPr>
        <w:pStyle w:val="BlockText"/>
      </w:pPr>
      <w:r>
        <w:t xml:space="preserve">Como los que resucitaron con Cristo ascendieron con él como trofeos de su victoria sobre la muerte y el sepulcro, llegaron así a ser un tipo viviente, y por lo tanto</w:t>
      </w:r>
    </w:p>
    <w:p>
      <w:pPr>
        <w:numPr>
          <w:ilvl w:val="0"/>
          <w:numId w:val="1004"/>
        </w:numPr>
      </w:pPr>
      <w:r>
        <w:rPr>
          <w:u w:val="single"/>
          <w:iCs/>
          <w:i/>
        </w:rPr>
        <w:t xml:space="preserve">La gavilla mecida de los vivos.</w:t>
      </w:r>
    </w:p>
    <w:p>
      <w:pPr>
        <w:pStyle w:val="BlockText"/>
      </w:pPr>
      <w:r>
        <w:t xml:space="preserve">De estos hechos puede verse más claramente que los que Cristo llevó consigo fueron la gavilla mecida viviente y la única que se ha ofrecido en el santuario celestial; y que, como resucitados de entre los muertos, son los primeros frutos de los muertos, mientras que, como siempre vivientes delante del Padre, son la gavilla mecida viviente de los primeros frutos de los vivos, los 144.000 siervos de Dios, quienes en secuencia preceden a</w:t>
      </w:r>
    </w:p>
    <w:p>
      <w:pPr>
        <w:numPr>
          <w:ilvl w:val="0"/>
          <w:numId w:val="1005"/>
        </w:numPr>
      </w:pPr>
      <w:r>
        <w:rPr>
          <w:iCs/>
          <w:i/>
          <w:u w:val="single"/>
        </w:rPr>
        <w:t xml:space="preserve">Los segundos frutos y la fiesta de los tabernáculos</w:t>
      </w:r>
      <w:r>
        <w:rPr>
          <w:u w:val="single"/>
        </w:rPr>
        <w:t xml:space="preserve">.</w:t>
      </w:r>
    </w:p>
    <w:p>
      <w:pPr>
        <w:pStyle w:val="BlockText"/>
      </w:pPr>
      <w:r>
        <w:t xml:space="preserve">Así, la gavilla mecida y los panes mecidos deben tener una doble aplicación, a los muertos y a los vivos, comprendiendo juntos la totalidad de los frutos de la cosecha antitípica.</w:t>
      </w:r>
    </w:p>
    <w:p>
      <w:pPr>
        <w:pStyle w:val="BlockText"/>
      </w:pPr>
      <w:r>
        <w:t xml:space="preserve">Siendo los 120 discípulos en el día de Pentecostés los primeros frutos del evangelio de entre los muertos, se sigue que la gran multitud añadida a la iglesia cada día de allí en adelante (</w:t>
      </w:r>
      <w:hyperlink r:id="rId34">
        <w:r>
          <w:rPr>
            <w:rStyle w:val="Hyperlink"/>
            <w:bCs/>
            <w:b/>
          </w:rPr>
          <w:t xml:space="preserve">Hech. 2:40-47</w:t>
        </w:r>
      </w:hyperlink>
      <w:r>
        <w:t xml:space="preserve">) fue naturalmente los segundos frutos del evangelio de entre los muertos.</w:t>
      </w:r>
    </w:p>
    <w:p>
      <w:pPr>
        <w:pStyle w:val="BlockText"/>
      </w:pPr>
      <w:r>
        <w:t xml:space="preserve">Como el Pentecostés después de la resurrección fue para la recolección de los que habían de morir, debe haber, correspondientemente, un Pentecostés para la recolección de los que han de ser trasladados: los 144.000 y la “gran multitud”, todos los santos que han de ser trasladados.</w:t>
      </w:r>
    </w:p>
    <w:p>
      <w:pPr>
        <w:pStyle w:val="BlockText"/>
      </w:pPr>
      <w:r>
        <w:t xml:space="preserve">Como en el tipo la fiesta de los tabernáculos había de celebrarse al final de la recolección final de la cosecha del año, entonces, correspondientemente, en el antitipo debe ser</w:t>
      </w:r>
    </w:p>
    <w:p>
      <w:pPr>
        <w:pStyle w:val="BlockText"/>
      </w:pPr>
      <w:r>
        <w:t xml:space="preserve">celebrada al final de la recolección final de la cosecha de la tierra. Así, el tiempo empleado en producir y ofrecer la gavilla mecida y los panes mecidos, y también en observar la fiesta de los tabernáculos, representa todo el tiempo de la cosecha espiritual de los vivos y de los muertos. Confirmando este hecho, el Espíritu de Profecía dice:</w:t>
      </w:r>
    </w:p>
    <w:p>
      <w:pPr>
        <w:pStyle w:val="BlockText"/>
      </w:pPr>
      <w:hyperlink r:id="rId35">
        <w:r>
          <w:rPr>
            <w:rStyle w:val="Hyperlink"/>
            <w:bCs/>
            <w:b/>
          </w:rPr>
          <w:t xml:space="preserve">PP 541</w:t>
        </w:r>
      </w:hyperlink>
      <w:r>
        <w:t xml:space="preserve"> </w:t>
      </w:r>
      <w:r>
        <w:t xml:space="preserve">“La fiesta de los tabernáculos no era solo conmemorativa, sino también típica. Ella</w:t>
      </w:r>
    </w:p>
    <w:p>
      <w:pPr>
        <w:pStyle w:val="BlockText"/>
      </w:pPr>
      <w:r>
        <w:t xml:space="preserve">celebraba la recolección de los frutos de la tierra, y señalaba hacia adelante al gran día de la recolección final, cuando el Señor de la mies enviará a sus segadores a recoger la cizaña en manojos para el fuego, y a recoger el trigo en su granero. En aquel tiempo los impíos serán todos destruidos”. {</w:t>
      </w:r>
      <w:hyperlink r:id="rId36">
        <w:r>
          <w:rPr>
            <w:rStyle w:val="Hyperlink"/>
          </w:rPr>
          <w:t xml:space="preserve">PP 541.2</w:t>
        </w:r>
      </w:hyperlink>
      <w:r>
        <w:t xml:space="preserve">}</w:t>
      </w:r>
    </w:p>
    <w:p>
      <w:pPr>
        <w:pStyle w:val="BlockText"/>
      </w:pPr>
      <w:hyperlink r:id="rId37">
        <w:r>
          <w:rPr>
            <w:rStyle w:val="Hyperlink"/>
            <w:bCs/>
            <w:b/>
          </w:rPr>
          <w:t xml:space="preserve">EW 282</w:t>
        </w:r>
      </w:hyperlink>
      <w:r>
        <w:rPr>
          <w:bCs/>
          <w:b/>
        </w:rPr>
        <w:t xml:space="preserve">, 282</w:t>
      </w:r>
      <w:r>
        <w:t xml:space="preserve"> </w:t>
      </w:r>
      <w:r>
        <w:t xml:space="preserve">“Vi a los santos —dice la sierva del Señor al describir esta celebración— abandonar las ciudades y los pueblos, y asociarse en grupos, y vivir en los lugares más solitarios. Los ángeles les proveían alimento y agua, mientras que los impíos sufrían de hambre y sed”. {</w:t>
      </w:r>
      <w:hyperlink r:id="rId38">
        <w:r>
          <w:rPr>
            <w:rStyle w:val="Hyperlink"/>
          </w:rPr>
          <w:t xml:space="preserve">EW 282.2</w:t>
        </w:r>
      </w:hyperlink>
      <w:r>
        <w:t xml:space="preserve">}</w:t>
      </w:r>
    </w:p>
    <w:p>
      <w:pPr>
        <w:pStyle w:val="BlockText"/>
      </w:pPr>
      <w:r>
        <w:t xml:space="preserve">Así, los justos (los 144.000 y la gran multitud) celebrarán su liberación del pecado (su peregrinación por el desierto) y la terminación de la obra del evangelio: la recolección de los frutos de la tierra,</w:t>
      </w:r>
      <w:r>
        <w:t xml:space="preserve"> </w:t>
      </w:r>
      <w:hyperlink r:id="rId39">
        <w:r>
          <w:rPr>
            <w:rStyle w:val="Hyperlink"/>
            <w:bCs/>
            <w:b/>
          </w:rPr>
          <w:t xml:space="preserve">Lev. 23:39</w:t>
        </w:r>
      </w:hyperlink>
      <w:r>
        <w:rPr>
          <w:bCs/>
          <w:b/>
        </w:rPr>
        <w:t xml:space="preserve">.</w:t>
      </w:r>
      <w:r>
        <w:t xml:space="preserve"> </w:t>
      </w:r>
      <w:r>
        <w:t xml:space="preserve">Esta celebración será en el Reino cerca del fin del tiempo de gracia. Vea</w:t>
      </w:r>
    </w:p>
    <w:bookmarkEnd w:id="40"/>
    <w:bookmarkStart w:id="42" w:name="zech.-14-16-19."/>
    <w:p>
      <w:pPr>
        <w:pStyle w:val="Heading1"/>
      </w:pPr>
      <w:hyperlink r:id="rId41">
        <w:r>
          <w:rPr>
            <w:rStyle w:val="Hyperlink"/>
          </w:rPr>
          <w:t xml:space="preserve">Zac. 14:16-19</w:t>
        </w:r>
      </w:hyperlink>
      <w:r>
        <w:t xml:space="preserve">.</w:t>
      </w:r>
    </w:p>
    <w:p>
      <w:pPr>
        <w:pStyle w:val="BlockText"/>
      </w:pPr>
      <w:r>
        <w:t xml:space="preserve">14:16 Y todos los que quedaren de las gentes que vinieron contra Jerusalem, subirán de año en año á adorar al Rey, Jehová de los ejércitos, y á celebrar la fiesta de las Cabañas.</w:t>
      </w:r>
    </w:p>
    <w:p>
      <w:pPr>
        <w:pStyle w:val="BlockText"/>
      </w:pPr>
      <w:r>
        <w:t xml:space="preserve">14:17 Y acontecerá, que los de las familias de la tierra que no subieren á Jerusalem á adorar al Rey, Jehová de los ejércitos, no vendrá sobre ellos lluvia. 14:18 Y si la familia de Egipto no subiere, y no viniere, sobre ellos no habrá lluvia; vendrá la plaga con que Jehová herirá las gentes que no subieren á celebrar la fiesta de las Cabañas.</w:t>
      </w:r>
    </w:p>
    <w:p>
      <w:pPr>
        <w:pStyle w:val="BlockText"/>
      </w:pPr>
      <w:r>
        <w:t xml:space="preserve">14:19 Esta será la pena del pecado de Egipto, y del pecado de todas las gentes que no subieren á celebrar la fiesta de las Cabañas.</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gwwritings.org/search?query=AA%2014.1" TargetMode="External" /><Relationship Type="http://schemas.openxmlformats.org/officeDocument/2006/relationships/hyperlink" Id="rId26" Target="https://egwwritings.org/search?query=DA%20785" TargetMode="External" /><Relationship Type="http://schemas.openxmlformats.org/officeDocument/2006/relationships/hyperlink" Id="rId27" Target="https://egwwritings.org/search?query=DA%20785.4" TargetMode="External" /><Relationship Type="http://schemas.openxmlformats.org/officeDocument/2006/relationships/hyperlink" Id="rId32" Target="https://egwwritings.org/search?query=DA%20834" TargetMode="External" /><Relationship Type="http://schemas.openxmlformats.org/officeDocument/2006/relationships/hyperlink" Id="rId30" Target="https://egwwritings.org/search?query=EW%20184" TargetMode="External" /><Relationship Type="http://schemas.openxmlformats.org/officeDocument/2006/relationships/hyperlink" Id="rId31" Target="https://egwwritings.org/search?query=EW%20184.1" TargetMode="External" /><Relationship Type="http://schemas.openxmlformats.org/officeDocument/2006/relationships/hyperlink" Id="rId37" Target="https://egwwritings.org/search?query=EW%20282" TargetMode="External" /><Relationship Type="http://schemas.openxmlformats.org/officeDocument/2006/relationships/hyperlink" Id="rId38" Target="https://egwwritings.org/search?query=EW%20282.2" TargetMode="External" /><Relationship Type="http://schemas.openxmlformats.org/officeDocument/2006/relationships/hyperlink" Id="rId35" Target="https://egwwritings.org/search?query=PP%20541" TargetMode="External" /><Relationship Type="http://schemas.openxmlformats.org/officeDocument/2006/relationships/hyperlink" Id="rId36" Target="https://egwwritings.org/search?query=PP%20541.2" TargetMode="External" /><Relationship Type="http://schemas.openxmlformats.org/officeDocument/2006/relationships/hyperlink" Id="rId20" Target="https://www.biblegateway.com/passage/?search=1+Corinthians+10:11&amp;version=RVA" TargetMode="External" /><Relationship Type="http://schemas.openxmlformats.org/officeDocument/2006/relationships/hyperlink" Id="rId33" Target="https://www.biblegateway.com/passage/?search=Acts+2:1-4&amp;version=RVA" TargetMode="External" /><Relationship Type="http://schemas.openxmlformats.org/officeDocument/2006/relationships/hyperlink" Id="rId34" Target="https://www.biblegateway.com/passage/?search=Acts+2:40-47&amp;version=RVA" TargetMode="External" /><Relationship Type="http://schemas.openxmlformats.org/officeDocument/2006/relationships/hyperlink" Id="rId23" Target="https://www.biblegateway.com/passage/?search=Leviticus+23:10,11,14-17,39&amp;version=RVA" TargetMode="External" /><Relationship Type="http://schemas.openxmlformats.org/officeDocument/2006/relationships/hyperlink" Id="rId24" Target="https://www.biblegateway.com/passage/?search=Leviticus+23:11,14&amp;version=RVA" TargetMode="External" /><Relationship Type="http://schemas.openxmlformats.org/officeDocument/2006/relationships/hyperlink" Id="rId25" Target="https://www.biblegateway.com/passage/?search=Leviticus+23:16,17&amp;version=RVA" TargetMode="External" /><Relationship Type="http://schemas.openxmlformats.org/officeDocument/2006/relationships/hyperlink" Id="rId39" Target="https://www.biblegateway.com/passage/?search=Leviticus+23:39&amp;version=RVA" TargetMode="External" /><Relationship Type="http://schemas.openxmlformats.org/officeDocument/2006/relationships/hyperlink" Id="rId29" Target="https://www.biblegateway.com/passage/?search=Matthew+27:50-53&amp;version=RVA" TargetMode="External" /><Relationship Type="http://schemas.openxmlformats.org/officeDocument/2006/relationships/hyperlink" Id="rId41" Target="https://www.biblegateway.com/passage/?search=Zechariah+14:16-19&amp;version=RVA" TargetMode="External" /></Relationships>
</file>

<file path=word/_rels/footnotes.xml.rels><?xml version="1.0" encoding="UTF-8"?><Relationships xmlns="http://schemas.openxmlformats.org/package/2006/relationships"><Relationship Type="http://schemas.openxmlformats.org/officeDocument/2006/relationships/hyperlink" Id="rId21" Target="https://egwwritings.org/search?query=AA%2014.1" TargetMode="External" /><Relationship Type="http://schemas.openxmlformats.org/officeDocument/2006/relationships/hyperlink" Id="rId26" Target="https://egwwritings.org/search?query=DA%20785" TargetMode="External" /><Relationship Type="http://schemas.openxmlformats.org/officeDocument/2006/relationships/hyperlink" Id="rId27" Target="https://egwwritings.org/search?query=DA%20785.4" TargetMode="External" /><Relationship Type="http://schemas.openxmlformats.org/officeDocument/2006/relationships/hyperlink" Id="rId32" Target="https://egwwritings.org/search?query=DA%20834" TargetMode="External" /><Relationship Type="http://schemas.openxmlformats.org/officeDocument/2006/relationships/hyperlink" Id="rId30" Target="https://egwwritings.org/search?query=EW%20184" TargetMode="External" /><Relationship Type="http://schemas.openxmlformats.org/officeDocument/2006/relationships/hyperlink" Id="rId31" Target="https://egwwritings.org/search?query=EW%20184.1" TargetMode="External" /><Relationship Type="http://schemas.openxmlformats.org/officeDocument/2006/relationships/hyperlink" Id="rId37" Target="https://egwwritings.org/search?query=EW%20282" TargetMode="External" /><Relationship Type="http://schemas.openxmlformats.org/officeDocument/2006/relationships/hyperlink" Id="rId38" Target="https://egwwritings.org/search?query=EW%20282.2" TargetMode="External" /><Relationship Type="http://schemas.openxmlformats.org/officeDocument/2006/relationships/hyperlink" Id="rId35" Target="https://egwwritings.org/search?query=PP%20541" TargetMode="External" /><Relationship Type="http://schemas.openxmlformats.org/officeDocument/2006/relationships/hyperlink" Id="rId36" Target="https://egwwritings.org/search?query=PP%20541.2" TargetMode="External" /><Relationship Type="http://schemas.openxmlformats.org/officeDocument/2006/relationships/hyperlink" Id="rId20" Target="https://www.biblegateway.com/passage/?search=1+Corinthians+10:11&amp;version=RVA" TargetMode="External" /><Relationship Type="http://schemas.openxmlformats.org/officeDocument/2006/relationships/hyperlink" Id="rId33" Target="https://www.biblegateway.com/passage/?search=Acts+2:1-4&amp;version=RVA" TargetMode="External" /><Relationship Type="http://schemas.openxmlformats.org/officeDocument/2006/relationships/hyperlink" Id="rId34" Target="https://www.biblegateway.com/passage/?search=Acts+2:40-47&amp;version=RVA" TargetMode="External" /><Relationship Type="http://schemas.openxmlformats.org/officeDocument/2006/relationships/hyperlink" Id="rId23" Target="https://www.biblegateway.com/passage/?search=Leviticus+23:10,11,14-17,39&amp;version=RVA" TargetMode="External" /><Relationship Type="http://schemas.openxmlformats.org/officeDocument/2006/relationships/hyperlink" Id="rId24" Target="https://www.biblegateway.com/passage/?search=Leviticus+23:11,14&amp;version=RVA" TargetMode="External" /><Relationship Type="http://schemas.openxmlformats.org/officeDocument/2006/relationships/hyperlink" Id="rId25" Target="https://www.biblegateway.com/passage/?search=Leviticus+23:16,17&amp;version=RVA" TargetMode="External" /><Relationship Type="http://schemas.openxmlformats.org/officeDocument/2006/relationships/hyperlink" Id="rId39" Target="https://www.biblegateway.com/passage/?search=Leviticus+23:39&amp;version=RVA" TargetMode="External" /><Relationship Type="http://schemas.openxmlformats.org/officeDocument/2006/relationships/hyperlink" Id="rId29" Target="https://www.biblegateway.com/passage/?search=Matthew+27:50-53&amp;version=RVA" TargetMode="External" /><Relationship Type="http://schemas.openxmlformats.org/officeDocument/2006/relationships/hyperlink" Id="rId41" Target="https://www.biblegateway.com/passage/?search=Zechariah+14:16-19&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cosecha ceremonial</dc:title>
  <dc:creator/>
  <dc:language>es</dc:language>
  <cp:keywords/>
  <dcterms:created xsi:type="dcterms:W3CDTF">2026-11-04T19:43:08Z</dcterms:created>
  <dcterms:modified xsi:type="dcterms:W3CDTF">2026-11-04T19:43:08Z</dcterms:modified>
</cp:coreProperties>
</file>

<file path=docProps/custom.xml><?xml version="1.0" encoding="utf-8"?>
<Properties xmlns="http://schemas.openxmlformats.org/officeDocument/2006/custom-properties" xmlns:vt="http://schemas.openxmlformats.org/officeDocument/2006/docPropsVTypes"/>
</file>